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0" w:type="dxa"/>
        <w:jc w:val="center"/>
        <w:tblCellMar>
          <w:left w:w="0" w:type="dxa"/>
          <w:right w:w="0" w:type="dxa"/>
        </w:tblCellMar>
        <w:tblLook w:val="04A0" w:firstRow="1" w:lastRow="0" w:firstColumn="1" w:lastColumn="0" w:noHBand="0" w:noVBand="1"/>
      </w:tblPr>
      <w:tblGrid>
        <w:gridCol w:w="10500"/>
      </w:tblGrid>
      <w:tr w:rsidR="005B50BE" w:rsidRPr="005B50BE" w14:paraId="386A6169" w14:textId="7777777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500"/>
            </w:tblGrid>
            <w:tr w:rsidR="005B50BE" w:rsidRPr="005B50BE" w14:paraId="408DA72D" w14:textId="77777777">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10500"/>
                  </w:tblGrid>
                  <w:tr w:rsidR="005B50BE" w:rsidRPr="005B50BE" w14:paraId="131B9C33" w14:textId="77777777">
                    <w:trPr>
                      <w:jc w:val="center"/>
                    </w:trPr>
                    <w:tc>
                      <w:tcPr>
                        <w:tcW w:w="10500" w:type="dxa"/>
                        <w:hideMark/>
                      </w:tcPr>
                      <w:tbl>
                        <w:tblPr>
                          <w:tblW w:w="5000" w:type="pct"/>
                          <w:tblCellMar>
                            <w:left w:w="0" w:type="dxa"/>
                            <w:right w:w="0" w:type="dxa"/>
                          </w:tblCellMar>
                          <w:tblLook w:val="04A0" w:firstRow="1" w:lastRow="0" w:firstColumn="1" w:lastColumn="0" w:noHBand="0" w:noVBand="1"/>
                        </w:tblPr>
                        <w:tblGrid>
                          <w:gridCol w:w="10500"/>
                        </w:tblGrid>
                        <w:tr w:rsidR="005B50BE" w:rsidRPr="005B50BE" w14:paraId="3024F8FA" w14:textId="77777777">
                          <w:tc>
                            <w:tcPr>
                              <w:tcW w:w="0" w:type="auto"/>
                              <w:tcMar>
                                <w:top w:w="600" w:type="dxa"/>
                                <w:left w:w="600" w:type="dxa"/>
                                <w:bottom w:w="300" w:type="dxa"/>
                                <w:right w:w="600" w:type="dxa"/>
                              </w:tcMar>
                              <w:vAlign w:val="center"/>
                              <w:hideMark/>
                            </w:tcPr>
                            <w:p w14:paraId="206A7C08" w14:textId="77777777" w:rsidR="005B50BE" w:rsidRPr="005B50BE" w:rsidRDefault="005B50BE" w:rsidP="005B50BE">
                              <w:pPr>
                                <w:spacing w:after="0" w:line="240" w:lineRule="auto"/>
                                <w:jc w:val="center"/>
                                <w:rPr>
                                  <w:rFonts w:ascii="Helvetica" w:eastAsia="Aptos" w:hAnsi="Helvetica" w:cs="Aptos"/>
                                  <w:color w:val="000000"/>
                                  <w:kern w:val="0"/>
                                  <w:sz w:val="60"/>
                                  <w:szCs w:val="60"/>
                                  <w14:ligatures w14:val="none"/>
                                </w:rPr>
                              </w:pPr>
                              <w:r w:rsidRPr="005B50BE">
                                <w:rPr>
                                  <w:rFonts w:ascii="Helvetica" w:eastAsia="Aptos" w:hAnsi="Helvetica" w:cs="Aptos"/>
                                  <w:b/>
                                  <w:bCs/>
                                  <w:color w:val="000000"/>
                                  <w:kern w:val="0"/>
                                  <w:sz w:val="60"/>
                                  <w:szCs w:val="60"/>
                                  <w14:ligatures w14:val="none"/>
                                </w:rPr>
                                <w:t>ASQ Rochester Newsletter — April 2026</w:t>
                              </w:r>
                            </w:p>
                          </w:tc>
                        </w:tr>
                      </w:tbl>
                      <w:p w14:paraId="15705FE5" w14:textId="77777777" w:rsidR="005B50BE" w:rsidRPr="005B50BE" w:rsidRDefault="005B50BE" w:rsidP="005B50BE">
                        <w:pPr>
                          <w:spacing w:after="0" w:line="240" w:lineRule="auto"/>
                          <w:rPr>
                            <w:rFonts w:ascii="Times New Roman" w:eastAsia="Times New Roman" w:hAnsi="Times New Roman" w:cs="Times New Roman"/>
                            <w:kern w:val="0"/>
                            <w:sz w:val="20"/>
                            <w:szCs w:val="20"/>
                            <w14:ligatures w14:val="none"/>
                          </w:rPr>
                        </w:pPr>
                      </w:p>
                    </w:tc>
                  </w:tr>
                </w:tbl>
                <w:p w14:paraId="2544195C"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15535180"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6427BEAD" w14:textId="77777777" w:rsidR="005B50BE" w:rsidRPr="005B50BE" w:rsidRDefault="005B50BE" w:rsidP="005B50BE">
      <w:pPr>
        <w:shd w:val="clear" w:color="auto" w:fill="F3F3F3"/>
        <w:spacing w:after="0" w:line="240" w:lineRule="auto"/>
        <w:rPr>
          <w:rFonts w:ascii="Aptos" w:eastAsia="Times New Roman" w:hAnsi="Aptos" w:cs="Aptos"/>
          <w:vanish/>
          <w:kern w:val="0"/>
          <w14:ligatures w14:val="none"/>
        </w:rPr>
      </w:pPr>
    </w:p>
    <w:tbl>
      <w:tblPr>
        <w:tblW w:w="10500" w:type="dxa"/>
        <w:jc w:val="center"/>
        <w:tblCellMar>
          <w:left w:w="0" w:type="dxa"/>
          <w:right w:w="0" w:type="dxa"/>
        </w:tblCellMar>
        <w:tblLook w:val="04A0" w:firstRow="1" w:lastRow="0" w:firstColumn="1" w:lastColumn="0" w:noHBand="0" w:noVBand="1"/>
      </w:tblPr>
      <w:tblGrid>
        <w:gridCol w:w="10500"/>
      </w:tblGrid>
      <w:tr w:rsidR="005B50BE" w:rsidRPr="005B50BE" w14:paraId="1F00A912" w14:textId="77777777">
        <w:trPr>
          <w:jc w:val="center"/>
          <w:hidden/>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500"/>
            </w:tblGrid>
            <w:tr w:rsidR="005B50BE" w:rsidRPr="005B50BE" w14:paraId="5F5E62E3" w14:textId="77777777">
              <w:trPr>
                <w:jc w:val="center"/>
                <w:hidden/>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10500"/>
                  </w:tblGrid>
                  <w:tr w:rsidR="005B50BE" w:rsidRPr="005B50BE" w14:paraId="63F6F582" w14:textId="77777777">
                    <w:trPr>
                      <w:jc w:val="center"/>
                      <w:hidden/>
                    </w:trPr>
                    <w:tc>
                      <w:tcPr>
                        <w:tcW w:w="10500" w:type="dxa"/>
                        <w:hideMark/>
                      </w:tcPr>
                      <w:tbl>
                        <w:tblPr>
                          <w:tblW w:w="5000" w:type="pct"/>
                          <w:tblCellMar>
                            <w:left w:w="0" w:type="dxa"/>
                            <w:right w:w="0" w:type="dxa"/>
                          </w:tblCellMar>
                          <w:tblLook w:val="04A0" w:firstRow="1" w:lastRow="0" w:firstColumn="1" w:lastColumn="0" w:noHBand="0" w:noVBand="1"/>
                        </w:tblPr>
                        <w:tblGrid>
                          <w:gridCol w:w="10500"/>
                        </w:tblGrid>
                        <w:tr w:rsidR="005B50BE" w:rsidRPr="005B50BE" w14:paraId="7957285C" w14:textId="77777777">
                          <w:trPr>
                            <w:hidden/>
                          </w:trPr>
                          <w:tc>
                            <w:tcPr>
                              <w:tcW w:w="0" w:type="auto"/>
                              <w:vAlign w:val="center"/>
                              <w:hideMark/>
                            </w:tcPr>
                            <w:p w14:paraId="63CAE244" w14:textId="77777777" w:rsidR="005B50BE" w:rsidRPr="005B50BE" w:rsidRDefault="005B50BE" w:rsidP="005B50BE">
                              <w:pPr>
                                <w:spacing w:after="0" w:line="240" w:lineRule="auto"/>
                                <w:rPr>
                                  <w:rFonts w:ascii="Aptos" w:eastAsia="Times New Roman" w:hAnsi="Aptos" w:cs="Aptos"/>
                                  <w:vanish/>
                                  <w:kern w:val="0"/>
                                  <w14:ligatures w14:val="none"/>
                                </w:rPr>
                              </w:pPr>
                            </w:p>
                          </w:tc>
                        </w:tr>
                      </w:tbl>
                      <w:p w14:paraId="1FB45393" w14:textId="77777777" w:rsidR="005B50BE" w:rsidRPr="005B50BE" w:rsidRDefault="005B50BE" w:rsidP="005B50BE">
                        <w:pPr>
                          <w:spacing w:after="0" w:line="240" w:lineRule="auto"/>
                          <w:rPr>
                            <w:rFonts w:ascii="Times New Roman" w:eastAsia="Times New Roman" w:hAnsi="Times New Roman" w:cs="Times New Roman"/>
                            <w:kern w:val="0"/>
                            <w:sz w:val="20"/>
                            <w:szCs w:val="20"/>
                            <w14:ligatures w14:val="none"/>
                          </w:rPr>
                        </w:pPr>
                      </w:p>
                    </w:tc>
                  </w:tr>
                </w:tbl>
                <w:p w14:paraId="14356488"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4304821F"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7762C7CA" w14:textId="77777777" w:rsidR="005B50BE" w:rsidRPr="005B50BE" w:rsidRDefault="005B50BE" w:rsidP="005B50BE">
      <w:pPr>
        <w:shd w:val="clear" w:color="auto" w:fill="F3F3F3"/>
        <w:spacing w:after="0" w:line="240" w:lineRule="auto"/>
        <w:rPr>
          <w:rFonts w:ascii="Aptos" w:eastAsia="Times New Roman" w:hAnsi="Aptos" w:cs="Aptos"/>
          <w:vanish/>
          <w:kern w:val="0"/>
          <w14:ligatures w14:val="none"/>
        </w:rPr>
      </w:pPr>
    </w:p>
    <w:tbl>
      <w:tblPr>
        <w:tblW w:w="10500" w:type="dxa"/>
        <w:jc w:val="center"/>
        <w:tblCellMar>
          <w:left w:w="0" w:type="dxa"/>
          <w:right w:w="0" w:type="dxa"/>
        </w:tblCellMar>
        <w:tblLook w:val="04A0" w:firstRow="1" w:lastRow="0" w:firstColumn="1" w:lastColumn="0" w:noHBand="0" w:noVBand="1"/>
      </w:tblPr>
      <w:tblGrid>
        <w:gridCol w:w="10500"/>
      </w:tblGrid>
      <w:tr w:rsidR="005B50BE" w:rsidRPr="005B50BE" w14:paraId="03FD2DE3" w14:textId="7777777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500"/>
            </w:tblGrid>
            <w:tr w:rsidR="005B50BE" w:rsidRPr="005B50BE" w14:paraId="5255F8C9" w14:textId="77777777">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10500"/>
                  </w:tblGrid>
                  <w:tr w:rsidR="005B50BE" w:rsidRPr="005B50BE" w14:paraId="1CA4AC5E" w14:textId="77777777">
                    <w:trPr>
                      <w:jc w:val="center"/>
                    </w:trPr>
                    <w:tc>
                      <w:tcPr>
                        <w:tcW w:w="10500" w:type="dxa"/>
                        <w:hideMark/>
                      </w:tcPr>
                      <w:tbl>
                        <w:tblPr>
                          <w:tblW w:w="5000" w:type="pct"/>
                          <w:tblCellMar>
                            <w:left w:w="0" w:type="dxa"/>
                            <w:right w:w="0" w:type="dxa"/>
                          </w:tblCellMar>
                          <w:tblLook w:val="04A0" w:firstRow="1" w:lastRow="0" w:firstColumn="1" w:lastColumn="0" w:noHBand="0" w:noVBand="1"/>
                        </w:tblPr>
                        <w:tblGrid>
                          <w:gridCol w:w="10500"/>
                        </w:tblGrid>
                        <w:tr w:rsidR="005B50BE" w:rsidRPr="005B50BE" w14:paraId="6B6CE5FC" w14:textId="77777777">
                          <w:tc>
                            <w:tcPr>
                              <w:tcW w:w="0" w:type="auto"/>
                              <w:tcMar>
                                <w:top w:w="300" w:type="dxa"/>
                                <w:left w:w="0" w:type="dxa"/>
                                <w:bottom w:w="300" w:type="dxa"/>
                                <w:right w:w="0" w:type="dxa"/>
                              </w:tcMar>
                              <w:vAlign w:val="center"/>
                              <w:hideMark/>
                            </w:tcPr>
                            <w:tbl>
                              <w:tblPr>
                                <w:tblW w:w="930" w:type="dxa"/>
                                <w:jc w:val="center"/>
                                <w:tblBorders>
                                  <w:top w:val="single" w:sz="12" w:space="0" w:color="000000"/>
                                </w:tblBorders>
                                <w:tblCellMar>
                                  <w:left w:w="0" w:type="dxa"/>
                                  <w:right w:w="0" w:type="dxa"/>
                                </w:tblCellMar>
                                <w:tblLook w:val="04A0" w:firstRow="1" w:lastRow="0" w:firstColumn="1" w:lastColumn="0" w:noHBand="0" w:noVBand="1"/>
                              </w:tblPr>
                              <w:tblGrid>
                                <w:gridCol w:w="930"/>
                              </w:tblGrid>
                              <w:tr w:rsidR="005B50BE" w:rsidRPr="005B50BE" w14:paraId="08701DCB" w14:textId="77777777">
                                <w:trPr>
                                  <w:jc w:val="center"/>
                                </w:trPr>
                                <w:tc>
                                  <w:tcPr>
                                    <w:tcW w:w="0" w:type="auto"/>
                                    <w:tcBorders>
                                      <w:top w:val="single" w:sz="12" w:space="0" w:color="000000"/>
                                      <w:left w:val="nil"/>
                                      <w:bottom w:val="nil"/>
                                      <w:right w:val="nil"/>
                                    </w:tcBorders>
                                    <w:vAlign w:val="center"/>
                                    <w:hideMark/>
                                  </w:tcPr>
                                  <w:p w14:paraId="23978FB0" w14:textId="77777777" w:rsidR="005B50BE" w:rsidRPr="005B50BE" w:rsidRDefault="005B50BE" w:rsidP="005B50BE">
                                    <w:pPr>
                                      <w:spacing w:after="0" w:line="0" w:lineRule="auto"/>
                                      <w:rPr>
                                        <w:rFonts w:ascii="Aptos" w:eastAsia="Times New Roman" w:hAnsi="Aptos" w:cs="Aptos"/>
                                        <w:kern w:val="0"/>
                                        <w:sz w:val="2"/>
                                        <w:szCs w:val="2"/>
                                        <w14:ligatures w14:val="none"/>
                                      </w:rPr>
                                    </w:pPr>
                                    <w:r w:rsidRPr="005B50BE">
                                      <w:rPr>
                                        <w:rFonts w:ascii="Aptos" w:eastAsia="Times New Roman" w:hAnsi="Aptos" w:cs="Aptos"/>
                                        <w:kern w:val="0"/>
                                        <w:sz w:val="2"/>
                                        <w:szCs w:val="2"/>
                                        <w14:ligatures w14:val="none"/>
                                      </w:rPr>
                                      <w:t xml:space="preserve">  </w:t>
                                    </w:r>
                                  </w:p>
                                </w:tc>
                              </w:tr>
                            </w:tbl>
                            <w:p w14:paraId="5033B9D4"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4BBFEAEF" w14:textId="77777777" w:rsidR="005B50BE" w:rsidRPr="005B50BE" w:rsidRDefault="005B50BE" w:rsidP="005B50BE">
                        <w:pPr>
                          <w:spacing w:after="0" w:line="240" w:lineRule="auto"/>
                          <w:rPr>
                            <w:rFonts w:ascii="Times New Roman" w:eastAsia="Times New Roman" w:hAnsi="Times New Roman" w:cs="Times New Roman"/>
                            <w:kern w:val="0"/>
                            <w:sz w:val="20"/>
                            <w:szCs w:val="20"/>
                            <w14:ligatures w14:val="none"/>
                          </w:rPr>
                        </w:pPr>
                      </w:p>
                    </w:tc>
                  </w:tr>
                </w:tbl>
                <w:p w14:paraId="747547F2"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47362A2F"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22D604A8" w14:textId="77777777" w:rsidR="005B50BE" w:rsidRPr="005B50BE" w:rsidRDefault="005B50BE" w:rsidP="005B50BE">
      <w:pPr>
        <w:shd w:val="clear" w:color="auto" w:fill="F3F3F3"/>
        <w:spacing w:after="0" w:line="240" w:lineRule="auto"/>
        <w:rPr>
          <w:rFonts w:ascii="Aptos" w:eastAsia="Times New Roman" w:hAnsi="Aptos" w:cs="Aptos"/>
          <w:vanish/>
          <w:kern w:val="0"/>
          <w14:ligatures w14:val="none"/>
        </w:rPr>
      </w:pPr>
    </w:p>
    <w:tbl>
      <w:tblPr>
        <w:tblW w:w="10500" w:type="dxa"/>
        <w:jc w:val="center"/>
        <w:tblCellMar>
          <w:left w:w="0" w:type="dxa"/>
          <w:right w:w="0" w:type="dxa"/>
        </w:tblCellMar>
        <w:tblLook w:val="04A0" w:firstRow="1" w:lastRow="0" w:firstColumn="1" w:lastColumn="0" w:noHBand="0" w:noVBand="1"/>
      </w:tblPr>
      <w:tblGrid>
        <w:gridCol w:w="10500"/>
      </w:tblGrid>
      <w:tr w:rsidR="005B50BE" w:rsidRPr="005B50BE" w14:paraId="7BB35DBA" w14:textId="7777777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500"/>
            </w:tblGrid>
            <w:tr w:rsidR="005B50BE" w:rsidRPr="005B50BE" w14:paraId="36D127A0" w14:textId="77777777">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10500"/>
                  </w:tblGrid>
                  <w:tr w:rsidR="005B50BE" w:rsidRPr="005B50BE" w14:paraId="3AD4D906" w14:textId="77777777">
                    <w:trPr>
                      <w:jc w:val="center"/>
                    </w:trPr>
                    <w:tc>
                      <w:tcPr>
                        <w:tcW w:w="10500" w:type="dxa"/>
                        <w:hideMark/>
                      </w:tcPr>
                      <w:tbl>
                        <w:tblPr>
                          <w:tblW w:w="5000" w:type="pct"/>
                          <w:tblCellMar>
                            <w:left w:w="0" w:type="dxa"/>
                            <w:right w:w="0" w:type="dxa"/>
                          </w:tblCellMar>
                          <w:tblLook w:val="04A0" w:firstRow="1" w:lastRow="0" w:firstColumn="1" w:lastColumn="0" w:noHBand="0" w:noVBand="1"/>
                        </w:tblPr>
                        <w:tblGrid>
                          <w:gridCol w:w="10500"/>
                        </w:tblGrid>
                        <w:tr w:rsidR="005B50BE" w:rsidRPr="005B50BE" w14:paraId="13DFE300" w14:textId="77777777">
                          <w:tc>
                            <w:tcPr>
                              <w:tcW w:w="0" w:type="auto"/>
                              <w:tcMar>
                                <w:top w:w="300" w:type="dxa"/>
                                <w:left w:w="600" w:type="dxa"/>
                                <w:bottom w:w="300" w:type="dxa"/>
                                <w:right w:w="600" w:type="dxa"/>
                              </w:tcMar>
                              <w:vAlign w:val="center"/>
                              <w:hideMark/>
                            </w:tcPr>
                            <w:p w14:paraId="077D5470"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b/>
                                  <w:bCs/>
                                  <w:color w:val="000000"/>
                                  <w:kern w:val="0"/>
                                  <w:sz w:val="27"/>
                                  <w:szCs w:val="27"/>
                                  <w14:ligatures w14:val="none"/>
                                </w:rPr>
                                <w:t>ASQ Rochester Newsletter — April 2026</w:t>
                              </w:r>
                            </w:p>
                            <w:p w14:paraId="6E1CF106"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6757770D"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As Chair, I’m proud of the energy and accomplishments our chapter has shown through the first third of the year. We launched an RIT student chapter, saw strong student performances at Data Fest, celebrated outstanding robotics competition results, and built a full calendar of upcoming events that connect professionals, students, and local industry. These activities embody our commitment to advancing quality through education, collaboration, and practical application. I encourage everyone to volunteer, attend events, and welcome new members as we build momentum toward the Fall Conference and national gatherings later this year.</w:t>
                              </w:r>
                            </w:p>
                            <w:p w14:paraId="217F21F0"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2545C377"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Starting an RIT Student Chapter</w:t>
                              </w:r>
                              <w:r w:rsidRPr="005B50BE">
                                <w:rPr>
                                  <w:rFonts w:ascii="Helvetica" w:eastAsia="Aptos" w:hAnsi="Helvetica" w:cs="Aptos"/>
                                  <w:color w:val="000000"/>
                                  <w:kern w:val="0"/>
                                  <w:sz w:val="27"/>
                                  <w:szCs w:val="27"/>
                                  <w14:ligatures w14:val="none"/>
                                </w:rPr>
                                <w:t> </w:t>
                              </w:r>
                            </w:p>
                            <w:p w14:paraId="00686674"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We’re excited to announce the launch of an ASQ Student Chapter at RIT. This new chapter will strengthen connections between students and quality professionals, create hands-on project opportunities, and open pathways for student membership, certifications, and local networking. The chapter will host workshops on basic quality tools, Lean methods, and Six Sigma fundamentals, and plans to run mentorship pairings between students and local industry volunteers. Faculty advisors and chapter officers are already coordinating a semester calendar that includes guest speakers and site visits to regional manufacturing and service organizations. The inaugural meeting was held on Thursday, April 23 at RIT’s Hugh L Carey Hall.</w:t>
                              </w:r>
                            </w:p>
                            <w:p w14:paraId="402F28C9"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6C3C8D25"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FIRST Robotics Competition at RIT</w:t>
                              </w:r>
                              <w:r w:rsidRPr="005B50BE">
                                <w:rPr>
                                  <w:rFonts w:ascii="Helvetica" w:eastAsia="Aptos" w:hAnsi="Helvetica" w:cs="Aptos"/>
                                  <w:color w:val="000000"/>
                                  <w:kern w:val="0"/>
                                  <w:sz w:val="27"/>
                                  <w:szCs w:val="27"/>
                                  <w14:ligatures w14:val="none"/>
                                </w:rPr>
                                <w:t xml:space="preserve"> (March 12–14) </w:t>
                              </w:r>
                            </w:p>
                            <w:p w14:paraId="69FFC2C5"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xml:space="preserve">RIT hosted the FIRST Robotics regional competition, where Team 3173 McQuaid won Regional Alliance honors and Team 1126 SPARX were recognized for </w:t>
                              </w:r>
                              <w:proofErr w:type="gramStart"/>
                              <w:r w:rsidRPr="005B50BE">
                                <w:rPr>
                                  <w:rFonts w:ascii="Helvetica" w:eastAsia="Aptos" w:hAnsi="Helvetica" w:cs="Aptos"/>
                                  <w:color w:val="000000"/>
                                  <w:kern w:val="0"/>
                                  <w:sz w:val="27"/>
                                  <w:szCs w:val="27"/>
                                  <w14:ligatures w14:val="none"/>
                                </w:rPr>
                                <w:t>high scoring</w:t>
                              </w:r>
                              <w:proofErr w:type="gramEnd"/>
                              <w:r w:rsidRPr="005B50BE">
                                <w:rPr>
                                  <w:rFonts w:ascii="Helvetica" w:eastAsia="Aptos" w:hAnsi="Helvetica" w:cs="Aptos"/>
                                  <w:color w:val="000000"/>
                                  <w:kern w:val="0"/>
                                  <w:sz w:val="27"/>
                                  <w:szCs w:val="27"/>
                                  <w14:ligatures w14:val="none"/>
                                </w:rPr>
                                <w:t xml:space="preserve">. Congratulations to the teams and volunteers for another successful regional event showcasing engineering, teamwork, and continuous improvement. Dozens of teams from across the region </w:t>
                              </w:r>
                              <w:r w:rsidRPr="005B50BE">
                                <w:rPr>
                                  <w:rFonts w:ascii="Helvetica" w:eastAsia="Aptos" w:hAnsi="Helvetica" w:cs="Aptos"/>
                                  <w:color w:val="000000"/>
                                  <w:kern w:val="0"/>
                                  <w:sz w:val="27"/>
                                  <w:szCs w:val="27"/>
                                  <w14:ligatures w14:val="none"/>
                                </w:rPr>
                                <w:lastRenderedPageBreak/>
                                <w:t>demonstrated iterative design, rapid problem solving, and robust testing practices, all core principles of quality engineering. Community volunteers supported judging, safety inspection, and awards ceremonies, helping ensure a fair, educational competitive environment.</w:t>
                              </w:r>
                            </w:p>
                          </w:tc>
                        </w:tr>
                        <w:tr w:rsidR="005B50BE" w:rsidRPr="005B50BE" w14:paraId="5BF953D6" w14:textId="77777777">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510"/>
                              </w:tblGrid>
                              <w:tr w:rsidR="005B50BE" w:rsidRPr="005B50BE" w14:paraId="13E4F98A" w14:textId="77777777">
                                <w:trPr>
                                  <w:jc w:val="center"/>
                                </w:trPr>
                                <w:tc>
                                  <w:tcPr>
                                    <w:tcW w:w="3510" w:type="dxa"/>
                                    <w:vAlign w:val="center"/>
                                    <w:hideMark/>
                                  </w:tcPr>
                                  <w:p w14:paraId="0F142BE7" w14:textId="77777777" w:rsidR="005B50BE" w:rsidRPr="005B50BE" w:rsidRDefault="005B50BE" w:rsidP="005B50BE">
                                    <w:pPr>
                                      <w:spacing w:after="0" w:line="240" w:lineRule="auto"/>
                                      <w:rPr>
                                        <w:rFonts w:ascii="Aptos" w:eastAsia="Times New Roman" w:hAnsi="Aptos" w:cs="Aptos"/>
                                        <w:kern w:val="0"/>
                                        <w14:ligatures w14:val="none"/>
                                      </w:rPr>
                                    </w:pPr>
                                    <w:r w:rsidRPr="005B50BE">
                                      <w:rPr>
                                        <w:rFonts w:ascii="Aptos" w:eastAsia="Times New Roman" w:hAnsi="Aptos" w:cs="Aptos"/>
                                        <w:noProof/>
                                        <w:kern w:val="0"/>
                                        <w14:ligatures w14:val="none"/>
                                      </w:rPr>
                                      <w:lastRenderedPageBreak/>
                                      <w:drawing>
                                        <wp:inline distT="0" distB="0" distL="0" distR="0" wp14:anchorId="1E800866" wp14:editId="30CEFC36">
                                          <wp:extent cx="2228850" cy="30289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28850" cy="3028950"/>
                                                  </a:xfrm>
                                                  <a:prstGeom prst="rect">
                                                    <a:avLst/>
                                                  </a:prstGeom>
                                                  <a:noFill/>
                                                  <a:ln>
                                                    <a:noFill/>
                                                  </a:ln>
                                                </pic:spPr>
                                              </pic:pic>
                                            </a:graphicData>
                                          </a:graphic>
                                        </wp:inline>
                                      </w:drawing>
                                    </w:r>
                                  </w:p>
                                </w:tc>
                              </w:tr>
                            </w:tbl>
                            <w:p w14:paraId="5245D496"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r w:rsidR="005B50BE" w:rsidRPr="005B50BE" w14:paraId="28DD24F4" w14:textId="77777777">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000"/>
                              </w:tblGrid>
                              <w:tr w:rsidR="005B50BE" w:rsidRPr="005B50BE" w14:paraId="5ABBD72C" w14:textId="77777777">
                                <w:trPr>
                                  <w:jc w:val="center"/>
                                </w:trPr>
                                <w:tc>
                                  <w:tcPr>
                                    <w:tcW w:w="6000" w:type="dxa"/>
                                    <w:vAlign w:val="center"/>
                                    <w:hideMark/>
                                  </w:tcPr>
                                  <w:p w14:paraId="07120E50" w14:textId="77777777" w:rsidR="005B50BE" w:rsidRPr="005B50BE" w:rsidRDefault="005B50BE" w:rsidP="005B50BE">
                                    <w:pPr>
                                      <w:spacing w:after="0" w:line="240" w:lineRule="auto"/>
                                      <w:rPr>
                                        <w:rFonts w:ascii="Aptos" w:eastAsia="Times New Roman" w:hAnsi="Aptos" w:cs="Aptos"/>
                                        <w:kern w:val="0"/>
                                        <w14:ligatures w14:val="none"/>
                                      </w:rPr>
                                    </w:pPr>
                                    <w:r w:rsidRPr="005B50BE">
                                      <w:rPr>
                                        <w:rFonts w:ascii="Aptos" w:eastAsia="Times New Roman" w:hAnsi="Aptos" w:cs="Aptos"/>
                                        <w:noProof/>
                                        <w:kern w:val="0"/>
                                        <w14:ligatures w14:val="none"/>
                                      </w:rPr>
                                      <w:drawing>
                                        <wp:inline distT="0" distB="0" distL="0" distR="0" wp14:anchorId="0FAE5E37" wp14:editId="2F61191B">
                                          <wp:extent cx="3810000" cy="2809875"/>
                                          <wp:effectExtent l="0" t="0" r="0" b="952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809875"/>
                                                  </a:xfrm>
                                                  <a:prstGeom prst="rect">
                                                    <a:avLst/>
                                                  </a:prstGeom>
                                                  <a:noFill/>
                                                  <a:ln>
                                                    <a:noFill/>
                                                  </a:ln>
                                                </pic:spPr>
                                              </pic:pic>
                                            </a:graphicData>
                                          </a:graphic>
                                        </wp:inline>
                                      </w:drawing>
                                    </w:r>
                                  </w:p>
                                </w:tc>
                              </w:tr>
                            </w:tbl>
                            <w:p w14:paraId="733A9117"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r w:rsidR="005B50BE" w:rsidRPr="005B50BE" w14:paraId="75C089E1" w14:textId="77777777">
                          <w:tc>
                            <w:tcPr>
                              <w:tcW w:w="0" w:type="auto"/>
                              <w:tcMar>
                                <w:top w:w="300" w:type="dxa"/>
                                <w:left w:w="600" w:type="dxa"/>
                                <w:bottom w:w="300" w:type="dxa"/>
                                <w:right w:w="600" w:type="dxa"/>
                              </w:tcMar>
                              <w:vAlign w:val="center"/>
                              <w:hideMark/>
                            </w:tcPr>
                            <w:p w14:paraId="46DF7962"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RIT Student Chapter at RIT Data Fest</w:t>
                              </w:r>
                              <w:r w:rsidRPr="005B50BE">
                                <w:rPr>
                                  <w:rFonts w:ascii="Helvetica" w:eastAsia="Aptos" w:hAnsi="Helvetica" w:cs="Aptos"/>
                                  <w:color w:val="000000"/>
                                  <w:kern w:val="0"/>
                                  <w:sz w:val="27"/>
                                  <w:szCs w:val="27"/>
                                  <w14:ligatures w14:val="none"/>
                                </w:rPr>
                                <w:t xml:space="preserve"> (March 27–29) </w:t>
                              </w:r>
                            </w:p>
                            <w:p w14:paraId="06408F27"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The student chapter competed in RIT’s Data Fest using a dataset of roughly 10 million lines. Over the weekend, they tackled real-world data cleaning, exploratory analysis, and storytelling under tight time constraints, an excellent demonstration of practical quality and data skills in action. Students applied statistical methods to identify data quality issues, built visualizations to support their findings, and presented recommendations focused on improving decision making from noisy, high-volume sources. Judges highlighted the team’s effective use of reproducible workflows and clear communication of uncertainty in their conclusions.</w:t>
                              </w:r>
                            </w:p>
                          </w:tc>
                        </w:tr>
                      </w:tbl>
                      <w:p w14:paraId="76767E36" w14:textId="77777777" w:rsidR="005B50BE" w:rsidRPr="005B50BE" w:rsidRDefault="005B50BE" w:rsidP="005B50BE">
                        <w:pPr>
                          <w:spacing w:after="0" w:line="240" w:lineRule="auto"/>
                          <w:rPr>
                            <w:rFonts w:ascii="Times New Roman" w:eastAsia="Times New Roman" w:hAnsi="Times New Roman" w:cs="Times New Roman"/>
                            <w:kern w:val="0"/>
                            <w:sz w:val="20"/>
                            <w:szCs w:val="20"/>
                            <w14:ligatures w14:val="none"/>
                          </w:rPr>
                        </w:pPr>
                      </w:p>
                    </w:tc>
                  </w:tr>
                </w:tbl>
                <w:p w14:paraId="12969B51"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10E9FD9E"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2B1FA5C7" w14:textId="77777777" w:rsidR="005B50BE" w:rsidRPr="005B50BE" w:rsidRDefault="005B50BE" w:rsidP="005B50BE">
      <w:pPr>
        <w:shd w:val="clear" w:color="auto" w:fill="F3F3F3"/>
        <w:spacing w:after="0" w:line="240" w:lineRule="auto"/>
        <w:rPr>
          <w:rFonts w:ascii="Aptos" w:eastAsia="Times New Roman" w:hAnsi="Aptos" w:cs="Aptos"/>
          <w:vanish/>
          <w:kern w:val="0"/>
          <w14:ligatures w14:val="none"/>
        </w:rPr>
      </w:pPr>
    </w:p>
    <w:tbl>
      <w:tblPr>
        <w:tblW w:w="10500" w:type="dxa"/>
        <w:jc w:val="center"/>
        <w:tblCellMar>
          <w:left w:w="0" w:type="dxa"/>
          <w:right w:w="0" w:type="dxa"/>
        </w:tblCellMar>
        <w:tblLook w:val="04A0" w:firstRow="1" w:lastRow="0" w:firstColumn="1" w:lastColumn="0" w:noHBand="0" w:noVBand="1"/>
      </w:tblPr>
      <w:tblGrid>
        <w:gridCol w:w="10500"/>
      </w:tblGrid>
      <w:tr w:rsidR="005B50BE" w:rsidRPr="005B50BE" w14:paraId="11DB20A5" w14:textId="77777777">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500"/>
            </w:tblGrid>
            <w:tr w:rsidR="005B50BE" w:rsidRPr="005B50BE" w14:paraId="2F752849" w14:textId="77777777">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10500"/>
                  </w:tblGrid>
                  <w:tr w:rsidR="005B50BE" w:rsidRPr="005B50BE" w14:paraId="4D4A33D7" w14:textId="77777777">
                    <w:trPr>
                      <w:jc w:val="center"/>
                    </w:trPr>
                    <w:tc>
                      <w:tcPr>
                        <w:tcW w:w="10500" w:type="dxa"/>
                        <w:hideMark/>
                      </w:tcPr>
                      <w:tbl>
                        <w:tblPr>
                          <w:tblW w:w="5000" w:type="pct"/>
                          <w:tblCellMar>
                            <w:left w:w="0" w:type="dxa"/>
                            <w:right w:w="0" w:type="dxa"/>
                          </w:tblCellMar>
                          <w:tblLook w:val="04A0" w:firstRow="1" w:lastRow="0" w:firstColumn="1" w:lastColumn="0" w:noHBand="0" w:noVBand="1"/>
                        </w:tblPr>
                        <w:tblGrid>
                          <w:gridCol w:w="10500"/>
                        </w:tblGrid>
                        <w:tr w:rsidR="005B50BE" w:rsidRPr="005B50BE" w14:paraId="18052B89" w14:textId="77777777">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000"/>
                              </w:tblGrid>
                              <w:tr w:rsidR="005B50BE" w:rsidRPr="005B50BE" w14:paraId="20069295" w14:textId="77777777">
                                <w:trPr>
                                  <w:jc w:val="center"/>
                                </w:trPr>
                                <w:tc>
                                  <w:tcPr>
                                    <w:tcW w:w="6000" w:type="dxa"/>
                                    <w:vAlign w:val="center"/>
                                    <w:hideMark/>
                                  </w:tcPr>
                                  <w:p w14:paraId="78278AD9" w14:textId="77777777" w:rsidR="005B50BE" w:rsidRPr="005B50BE" w:rsidRDefault="005B50BE" w:rsidP="005B50BE">
                                    <w:pPr>
                                      <w:spacing w:after="0" w:line="240" w:lineRule="auto"/>
                                      <w:rPr>
                                        <w:rFonts w:ascii="Aptos" w:eastAsia="Times New Roman" w:hAnsi="Aptos" w:cs="Aptos"/>
                                        <w:kern w:val="0"/>
                                        <w14:ligatures w14:val="none"/>
                                      </w:rPr>
                                    </w:pPr>
                                    <w:r w:rsidRPr="005B50BE">
                                      <w:rPr>
                                        <w:rFonts w:ascii="Aptos" w:eastAsia="Times New Roman" w:hAnsi="Aptos" w:cs="Aptos"/>
                                        <w:noProof/>
                                        <w:kern w:val="0"/>
                                        <w14:ligatures w14:val="none"/>
                                      </w:rPr>
                                      <w:drawing>
                                        <wp:inline distT="0" distB="0" distL="0" distR="0" wp14:anchorId="3B0CF255" wp14:editId="7AB97254">
                                          <wp:extent cx="3810000" cy="516255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5162550"/>
                                                  </a:xfrm>
                                                  <a:prstGeom prst="rect">
                                                    <a:avLst/>
                                                  </a:prstGeom>
                                                  <a:noFill/>
                                                  <a:ln>
                                                    <a:noFill/>
                                                  </a:ln>
                                                </pic:spPr>
                                              </pic:pic>
                                            </a:graphicData>
                                          </a:graphic>
                                        </wp:inline>
                                      </w:drawing>
                                    </w:r>
                                  </w:p>
                                </w:tc>
                              </w:tr>
                            </w:tbl>
                            <w:p w14:paraId="37321966"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r w:rsidR="005B50BE" w:rsidRPr="005B50BE" w14:paraId="778943C4" w14:textId="77777777">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000"/>
                              </w:tblGrid>
                              <w:tr w:rsidR="005B50BE" w:rsidRPr="005B50BE" w14:paraId="25AA40B8" w14:textId="77777777">
                                <w:trPr>
                                  <w:jc w:val="center"/>
                                </w:trPr>
                                <w:tc>
                                  <w:tcPr>
                                    <w:tcW w:w="6000" w:type="dxa"/>
                                    <w:vAlign w:val="center"/>
                                    <w:hideMark/>
                                  </w:tcPr>
                                  <w:p w14:paraId="1963D334" w14:textId="77777777" w:rsidR="005B50BE" w:rsidRPr="005B50BE" w:rsidRDefault="005B50BE" w:rsidP="005B50BE">
                                    <w:pPr>
                                      <w:spacing w:after="0" w:line="240" w:lineRule="auto"/>
                                      <w:rPr>
                                        <w:rFonts w:ascii="Aptos" w:eastAsia="Times New Roman" w:hAnsi="Aptos" w:cs="Aptos"/>
                                        <w:kern w:val="0"/>
                                        <w14:ligatures w14:val="none"/>
                                      </w:rPr>
                                    </w:pPr>
                                    <w:r w:rsidRPr="005B50BE">
                                      <w:rPr>
                                        <w:rFonts w:ascii="Aptos" w:eastAsia="Times New Roman" w:hAnsi="Aptos" w:cs="Aptos"/>
                                        <w:noProof/>
                                        <w:kern w:val="0"/>
                                        <w14:ligatures w14:val="none"/>
                                      </w:rPr>
                                      <w:drawing>
                                        <wp:inline distT="0" distB="0" distL="0" distR="0" wp14:anchorId="3763FD59" wp14:editId="11FB0A7D">
                                          <wp:extent cx="3810000" cy="33147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314700"/>
                                                  </a:xfrm>
                                                  <a:prstGeom prst="rect">
                                                    <a:avLst/>
                                                  </a:prstGeom>
                                                  <a:noFill/>
                                                  <a:ln>
                                                    <a:noFill/>
                                                  </a:ln>
                                                </pic:spPr>
                                              </pic:pic>
                                            </a:graphicData>
                                          </a:graphic>
                                        </wp:inline>
                                      </w:drawing>
                                    </w:r>
                                  </w:p>
                                </w:tc>
                              </w:tr>
                            </w:tbl>
                            <w:p w14:paraId="0F81899F"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r w:rsidR="005B50BE" w:rsidRPr="005B50BE" w14:paraId="11FF7FCA" w14:textId="77777777">
                          <w:tc>
                            <w:tcPr>
                              <w:tcW w:w="0" w:type="auto"/>
                              <w:tcMar>
                                <w:top w:w="300" w:type="dxa"/>
                                <w:left w:w="600" w:type="dxa"/>
                                <w:bottom w:w="300" w:type="dxa"/>
                                <w:right w:w="600" w:type="dxa"/>
                              </w:tcMar>
                              <w:vAlign w:val="center"/>
                              <w:hideMark/>
                            </w:tcPr>
                            <w:p w14:paraId="67F9C072"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GRQC Day of Quality</w:t>
                              </w:r>
                              <w:r w:rsidRPr="005B50BE">
                                <w:rPr>
                                  <w:rFonts w:ascii="Helvetica" w:eastAsia="Aptos" w:hAnsi="Helvetica" w:cs="Aptos"/>
                                  <w:color w:val="000000"/>
                                  <w:kern w:val="0"/>
                                  <w:sz w:val="27"/>
                                  <w:szCs w:val="27"/>
                                  <w14:ligatures w14:val="none"/>
                                </w:rPr>
                                <w:t xml:space="preserve"> (April 20–30) </w:t>
                              </w:r>
                            </w:p>
                            <w:p w14:paraId="7358B432"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The Greater Rochester Quality Council’s Day of Quality runs April 20 to 30 with activities focused on process improvement across organizations. The Day of Quality brings local quality experts together for an entire day working side by side with nonprofit staff. The result is a hyper-focused project that makes real differences in organizational processes, quality, and performance excellence. Plus, it is a lot of fun for everyone involved.</w:t>
                              </w:r>
                            </w:p>
                            <w:p w14:paraId="2D05D9C0"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hyperlink r:id="rId8" w:tgtFrame="_blank" w:history="1">
                                <w:r w:rsidRPr="005B50BE">
                                  <w:rPr>
                                    <w:rFonts w:ascii="Helvetica" w:eastAsia="Aptos" w:hAnsi="Helvetica" w:cs="Aptos"/>
                                    <w:color w:val="0000FF"/>
                                    <w:kern w:val="0"/>
                                    <w:sz w:val="27"/>
                                    <w:szCs w:val="27"/>
                                    <w14:ligatures w14:val="none"/>
                                  </w:rPr>
                                  <w:t>https://www.grqc.org/day-of-quality</w:t>
                                </w:r>
                              </w:hyperlink>
                            </w:p>
                            <w:p w14:paraId="547F70B1"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38131D41"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ASQ World Conference — Orlando, FL</w:t>
                              </w:r>
                              <w:r w:rsidRPr="005B50BE">
                                <w:rPr>
                                  <w:rFonts w:ascii="Helvetica" w:eastAsia="Aptos" w:hAnsi="Helvetica" w:cs="Aptos"/>
                                  <w:color w:val="000000"/>
                                  <w:kern w:val="0"/>
                                  <w:sz w:val="27"/>
                                  <w:szCs w:val="27"/>
                                  <w14:ligatures w14:val="none"/>
                                </w:rPr>
                                <w:t xml:space="preserve"> (May 17–20) </w:t>
                              </w:r>
                            </w:p>
                            <w:p w14:paraId="5056101E"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The ASQ World Conference takes place May 17 to 20 in Orlando, Florida. It is a prime opportunity for professional development, networking, and learning about global quality trends. Attendees can choose from dozens of technical sessions, workshops, and certification prep classes covering topics such as AI in quality, risk management, and sustainability in operations. If you plan to attend, consider coordinating with other chapter members to share notes and bring back insights for a post-conference debrief meeting.</w:t>
                              </w:r>
                            </w:p>
                            <w:p w14:paraId="10B53002"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hyperlink r:id="rId9" w:tgtFrame="_blank" w:history="1">
                                <w:r w:rsidRPr="005B50BE">
                                  <w:rPr>
                                    <w:rFonts w:ascii="Helvetica" w:eastAsia="Aptos" w:hAnsi="Helvetica" w:cs="Aptos"/>
                                    <w:color w:val="0000FF"/>
                                    <w:kern w:val="0"/>
                                    <w:sz w:val="27"/>
                                    <w:szCs w:val="27"/>
                                    <w14:ligatures w14:val="none"/>
                                  </w:rPr>
                                  <w:t>https://asq.org/conferences/wcqi</w:t>
                                </w:r>
                              </w:hyperlink>
                            </w:p>
                          </w:tc>
                        </w:tr>
                        <w:tr w:rsidR="005B50BE" w:rsidRPr="005B50BE" w14:paraId="7B32D1E6" w14:textId="77777777">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6000"/>
                              </w:tblGrid>
                              <w:tr w:rsidR="005B50BE" w:rsidRPr="005B50BE" w14:paraId="613C12F5" w14:textId="77777777">
                                <w:trPr>
                                  <w:jc w:val="center"/>
                                </w:trPr>
                                <w:tc>
                                  <w:tcPr>
                                    <w:tcW w:w="6000" w:type="dxa"/>
                                    <w:vAlign w:val="center"/>
                                    <w:hideMark/>
                                  </w:tcPr>
                                  <w:p w14:paraId="11D631AA" w14:textId="77777777" w:rsidR="005B50BE" w:rsidRPr="005B50BE" w:rsidRDefault="005B50BE" w:rsidP="005B50BE">
                                    <w:pPr>
                                      <w:spacing w:after="0" w:line="240" w:lineRule="auto"/>
                                      <w:rPr>
                                        <w:rFonts w:ascii="Aptos" w:eastAsia="Times New Roman" w:hAnsi="Aptos" w:cs="Aptos"/>
                                        <w:kern w:val="0"/>
                                        <w14:ligatures w14:val="none"/>
                                      </w:rPr>
                                    </w:pPr>
                                    <w:r w:rsidRPr="005B50BE">
                                      <w:rPr>
                                        <w:rFonts w:ascii="Aptos" w:eastAsia="Times New Roman" w:hAnsi="Aptos" w:cs="Aptos"/>
                                        <w:noProof/>
                                        <w:kern w:val="0"/>
                                        <w14:ligatures w14:val="none"/>
                                      </w:rPr>
                                      <w:drawing>
                                        <wp:inline distT="0" distB="0" distL="0" distR="0" wp14:anchorId="66CE1801" wp14:editId="0B7BB9DB">
                                          <wp:extent cx="3810000" cy="104775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047750"/>
                                                  </a:xfrm>
                                                  <a:prstGeom prst="rect">
                                                    <a:avLst/>
                                                  </a:prstGeom>
                                                  <a:noFill/>
                                                  <a:ln>
                                                    <a:noFill/>
                                                  </a:ln>
                                                </pic:spPr>
                                              </pic:pic>
                                            </a:graphicData>
                                          </a:graphic>
                                        </wp:inline>
                                      </w:drawing>
                                    </w:r>
                                  </w:p>
                                </w:tc>
                              </w:tr>
                            </w:tbl>
                            <w:p w14:paraId="58B036CA"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r w:rsidR="005B50BE" w:rsidRPr="005B50BE" w14:paraId="6BABFC56" w14:textId="77777777">
                          <w:tc>
                            <w:tcPr>
                              <w:tcW w:w="0" w:type="auto"/>
                              <w:tcMar>
                                <w:top w:w="300" w:type="dxa"/>
                                <w:left w:w="600" w:type="dxa"/>
                                <w:bottom w:w="300" w:type="dxa"/>
                                <w:right w:w="600" w:type="dxa"/>
                              </w:tcMar>
                              <w:vAlign w:val="center"/>
                              <w:hideMark/>
                            </w:tcPr>
                            <w:p w14:paraId="67AB61AF"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GRQC Performance Excellence Awards</w:t>
                              </w:r>
                              <w:r w:rsidRPr="005B50BE">
                                <w:rPr>
                                  <w:rFonts w:ascii="Helvetica" w:eastAsia="Aptos" w:hAnsi="Helvetica" w:cs="Aptos"/>
                                  <w:color w:val="000000"/>
                                  <w:kern w:val="0"/>
                                  <w:sz w:val="27"/>
                                  <w:szCs w:val="27"/>
                                  <w14:ligatures w14:val="none"/>
                                </w:rPr>
                                <w:t xml:space="preserve"> — Submissions are now open for the GRQC Performance Excellence Awards through May 31. Nominate organizations or teams that demonstrate outstanding quality performance and continuous improvement. The awards recognize measurable results across categories like process improvement, leadership, and customer focus. Winners receive regional recognition and feedback from experienced examiners. Preparing a submission can also serve as a valuable self-assessment exercise for teams sharpening their performance metrics and improvement plans.</w:t>
                              </w:r>
                            </w:p>
                            <w:p w14:paraId="34CF5D9A"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1246AD6C"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 xml:space="preserve">Machine Tool Open House — </w:t>
                              </w:r>
                              <w:proofErr w:type="spellStart"/>
                              <w:r w:rsidRPr="005B50BE">
                                <w:rPr>
                                  <w:rFonts w:ascii="Helvetica" w:eastAsia="Aptos" w:hAnsi="Helvetica" w:cs="Aptos"/>
                                  <w:color w:val="000000"/>
                                  <w:kern w:val="0"/>
                                  <w:sz w:val="27"/>
                                  <w:szCs w:val="27"/>
                                  <w:u w:val="single"/>
                                  <w14:ligatures w14:val="none"/>
                                </w:rPr>
                                <w:t>OptiPro</w:t>
                              </w:r>
                              <w:proofErr w:type="spellEnd"/>
                              <w:r w:rsidRPr="005B50BE">
                                <w:rPr>
                                  <w:rFonts w:ascii="Helvetica" w:eastAsia="Aptos" w:hAnsi="Helvetica" w:cs="Aptos"/>
                                  <w:color w:val="000000"/>
                                  <w:kern w:val="0"/>
                                  <w:sz w:val="27"/>
                                  <w:szCs w:val="27"/>
                                  <w14:ligatures w14:val="none"/>
                                </w:rPr>
                                <w:t xml:space="preserve"> (June 10–11) </w:t>
                              </w:r>
                            </w:p>
                            <w:p w14:paraId="3C77BEDC"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proofErr w:type="spellStart"/>
                              <w:r w:rsidRPr="005B50BE">
                                <w:rPr>
                                  <w:rFonts w:ascii="Helvetica" w:eastAsia="Aptos" w:hAnsi="Helvetica" w:cs="Aptos"/>
                                  <w:color w:val="000000"/>
                                  <w:kern w:val="0"/>
                                  <w:sz w:val="27"/>
                                  <w:szCs w:val="27"/>
                                  <w14:ligatures w14:val="none"/>
                                </w:rPr>
                                <w:t>OptiPro’s</w:t>
                              </w:r>
                              <w:proofErr w:type="spellEnd"/>
                              <w:r w:rsidRPr="005B50BE">
                                <w:rPr>
                                  <w:rFonts w:ascii="Helvetica" w:eastAsia="Aptos" w:hAnsi="Helvetica" w:cs="Aptos"/>
                                  <w:color w:val="000000"/>
                                  <w:kern w:val="0"/>
                                  <w:sz w:val="27"/>
                                  <w:szCs w:val="27"/>
                                  <w14:ligatures w14:val="none"/>
                                </w:rPr>
                                <w:t xml:space="preserve"> Machine Tool Open House is June 10 to 11. The event will feature demonstrations of precision equipment and discussions on process control and measurement, a great chance to see quality engineering applied directly on the shop floor. Attendees can observe live machining demonstrations, speak with application engineers about fixturing and metrology solutions, and learn best practices for statistical process control in precision manufacturing. This open house is well suited for engineers, quality managers, and students interested in tight-tolerance production and inspection techniques.</w:t>
                              </w:r>
                            </w:p>
                            <w:p w14:paraId="58E1C15B"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hyperlink r:id="rId11" w:tgtFrame="_blank" w:history="1">
                                <w:r w:rsidRPr="005B50BE">
                                  <w:rPr>
                                    <w:rFonts w:ascii="Helvetica" w:eastAsia="Aptos" w:hAnsi="Helvetica" w:cs="Aptos"/>
                                    <w:color w:val="0000FF"/>
                                    <w:kern w:val="0"/>
                                    <w:sz w:val="27"/>
                                    <w:szCs w:val="27"/>
                                    <w14:ligatures w14:val="none"/>
                                  </w:rPr>
                                  <w:t>https://www.optipro.com/technology-open-house/</w:t>
                                </w:r>
                              </w:hyperlink>
                            </w:p>
                            <w:p w14:paraId="67C3AC2E"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58B13EAB"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ASQ Fall Conference — Save the Date</w:t>
                              </w:r>
                              <w:r w:rsidRPr="005B50BE">
                                <w:rPr>
                                  <w:rFonts w:ascii="Helvetica" w:eastAsia="Aptos" w:hAnsi="Helvetica" w:cs="Aptos"/>
                                  <w:color w:val="000000"/>
                                  <w:kern w:val="0"/>
                                  <w:sz w:val="27"/>
                                  <w:szCs w:val="27"/>
                                  <w14:ligatures w14:val="none"/>
                                </w:rPr>
                                <w:t xml:space="preserve"> (November 2026) </w:t>
                              </w:r>
                            </w:p>
                            <w:p w14:paraId="22BE1DC9"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Mark your calendars. The ASQ Fall Conference returns to the RIT Conference Center in November 2026. Expect practical sessions on quality tools, leadership, and industry case studies, with details and registration information to follow. Planned tracks include process improvement, quality management systems, and data analytics applied to quality challenges. Sessions will be relevant for early-career professionals and seasoned practitioners alike. The conference will also feature a vendor area where attendees can connect with local suppliers of measurement, testing, and training services. We are looking for participants to join the planning committee and help make this a strong, engaging learning experience.</w:t>
                              </w:r>
                            </w:p>
                            <w:p w14:paraId="72895E91"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1AFDC382"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u w:val="single"/>
                                  <w14:ligatures w14:val="none"/>
                                </w:rPr>
                                <w:t>Welcome, New Members</w:t>
                              </w:r>
                            </w:p>
                            <w:p w14:paraId="14421C2F"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Please join us in welcoming;</w:t>
                              </w:r>
                            </w:p>
                            <w:p w14:paraId="473FF544"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xml:space="preserve">Stephen Allen, Jacqueline Hinneh, James Noah Ssemanda, Nathaniel Rose, Sahil Sharma, Chiara Duenas, Christopher Judd, </w:t>
                              </w:r>
                              <w:proofErr w:type="spellStart"/>
                              <w:r w:rsidRPr="005B50BE">
                                <w:rPr>
                                  <w:rFonts w:ascii="Helvetica" w:eastAsia="Aptos" w:hAnsi="Helvetica" w:cs="Aptos"/>
                                  <w:color w:val="000000"/>
                                  <w:kern w:val="0"/>
                                  <w:sz w:val="27"/>
                                  <w:szCs w:val="27"/>
                                  <w14:ligatures w14:val="none"/>
                                </w:rPr>
                                <w:t>Maimaiti</w:t>
                              </w:r>
                              <w:proofErr w:type="spellEnd"/>
                              <w:r w:rsidRPr="005B50BE">
                                <w:rPr>
                                  <w:rFonts w:ascii="Helvetica" w:eastAsia="Aptos" w:hAnsi="Helvetica" w:cs="Aptos"/>
                                  <w:color w:val="000000"/>
                                  <w:kern w:val="0"/>
                                  <w:sz w:val="27"/>
                                  <w:szCs w:val="27"/>
                                  <w14:ligatures w14:val="none"/>
                                </w:rPr>
                                <w:t xml:space="preserve"> Aji, Kobe Sanders, Haleigh </w:t>
                              </w:r>
                              <w:proofErr w:type="spellStart"/>
                              <w:r w:rsidRPr="005B50BE">
                                <w:rPr>
                                  <w:rFonts w:ascii="Helvetica" w:eastAsia="Aptos" w:hAnsi="Helvetica" w:cs="Aptos"/>
                                  <w:color w:val="000000"/>
                                  <w:kern w:val="0"/>
                                  <w:sz w:val="27"/>
                                  <w:szCs w:val="27"/>
                                  <w14:ligatures w14:val="none"/>
                                </w:rPr>
                                <w:t>Trayhern</w:t>
                              </w:r>
                              <w:proofErr w:type="spellEnd"/>
                              <w:r w:rsidRPr="005B50BE">
                                <w:rPr>
                                  <w:rFonts w:ascii="Helvetica" w:eastAsia="Aptos" w:hAnsi="Helvetica" w:cs="Aptos"/>
                                  <w:color w:val="000000"/>
                                  <w:kern w:val="0"/>
                                  <w:sz w:val="27"/>
                                  <w:szCs w:val="27"/>
                                  <w14:ligatures w14:val="none"/>
                                </w:rPr>
                                <w:t>, Kara Stone, Philip Matthew Aaron, Sarah Carlson, Hanan Chehab, Elise Angelo, Greg Ferris, Theresa Burns, Una Moneypenny, Clare Russell, Tobias Kiebala, Justin Poulter, Zachary Orlowski, Michael Faucz, Kimberly Gebo, Thomas Owens, Ivanka Driankova, Maureen Freyn, Katrina Mengs, Diana Schaeffer, Lauren Smith, Ronald Dietz, Deedra Dowdle, David Hahn, and Brian Zeberl to ASQ Rochester.</w:t>
                              </w:r>
                            </w:p>
                            <w:p w14:paraId="7BB10266"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50B5F4F2"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We look forward to their participation and contributions to chapter activities and events.</w:t>
                              </w:r>
                            </w:p>
                            <w:p w14:paraId="6F82C559"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As always, there are opportunities for your input and participation across our seven swim lanes: Operations, Communication, Membership, Program, Education, Philanthropic, Conference, and Student Chapter. Please reach out to any swim lane leads, or to me directly, to offer your skills, suggest topics, or volunteer for upcoming activities. We look forward to your involvement and to a productive, energizing spring together.</w:t>
                              </w:r>
                            </w:p>
                            <w:p w14:paraId="06D9D495"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 </w:t>
                              </w:r>
                            </w:p>
                            <w:p w14:paraId="6DBD054F"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Humbly serving,</w:t>
                              </w:r>
                            </w:p>
                            <w:p w14:paraId="078195D9"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Franklin I. Allen.</w:t>
                              </w:r>
                            </w:p>
                            <w:p w14:paraId="115E59E9" w14:textId="77777777" w:rsidR="005B50BE" w:rsidRPr="005B50BE" w:rsidRDefault="005B50BE" w:rsidP="005B50BE">
                              <w:pPr>
                                <w:spacing w:after="0" w:line="240" w:lineRule="auto"/>
                                <w:jc w:val="center"/>
                                <w:rPr>
                                  <w:rFonts w:ascii="Helvetica" w:eastAsia="Aptos" w:hAnsi="Helvetica" w:cs="Aptos"/>
                                  <w:color w:val="000000"/>
                                  <w:kern w:val="0"/>
                                  <w:sz w:val="27"/>
                                  <w:szCs w:val="27"/>
                                  <w14:ligatures w14:val="none"/>
                                </w:rPr>
                              </w:pPr>
                              <w:r w:rsidRPr="005B50BE">
                                <w:rPr>
                                  <w:rFonts w:ascii="Helvetica" w:eastAsia="Aptos" w:hAnsi="Helvetica" w:cs="Aptos"/>
                                  <w:color w:val="000000"/>
                                  <w:kern w:val="0"/>
                                  <w:sz w:val="27"/>
                                  <w:szCs w:val="27"/>
                                  <w14:ligatures w14:val="none"/>
                                </w:rPr>
                                <w:t>Chair, ASQ Rochester</w:t>
                              </w:r>
                            </w:p>
                          </w:tc>
                        </w:tr>
                      </w:tbl>
                      <w:p w14:paraId="3FFC4E07" w14:textId="77777777" w:rsidR="005B50BE" w:rsidRPr="005B50BE" w:rsidRDefault="005B50BE" w:rsidP="005B50BE">
                        <w:pPr>
                          <w:spacing w:after="0" w:line="240" w:lineRule="auto"/>
                          <w:rPr>
                            <w:rFonts w:ascii="Times New Roman" w:eastAsia="Times New Roman" w:hAnsi="Times New Roman" w:cs="Times New Roman"/>
                            <w:kern w:val="0"/>
                            <w:sz w:val="20"/>
                            <w:szCs w:val="20"/>
                            <w14:ligatures w14:val="none"/>
                          </w:rPr>
                        </w:pPr>
                      </w:p>
                    </w:tc>
                  </w:tr>
                </w:tbl>
                <w:p w14:paraId="32B39C05"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3C974266" w14:textId="77777777" w:rsidR="005B50BE" w:rsidRPr="005B50BE" w:rsidRDefault="005B50BE" w:rsidP="005B50BE">
            <w:pPr>
              <w:spacing w:after="0" w:line="240" w:lineRule="auto"/>
              <w:jc w:val="center"/>
              <w:rPr>
                <w:rFonts w:ascii="Times New Roman" w:eastAsia="Times New Roman" w:hAnsi="Times New Roman" w:cs="Times New Roman"/>
                <w:kern w:val="0"/>
                <w:sz w:val="20"/>
                <w:szCs w:val="20"/>
                <w14:ligatures w14:val="none"/>
              </w:rPr>
            </w:pPr>
          </w:p>
        </w:tc>
      </w:tr>
    </w:tbl>
    <w:p w14:paraId="4EA00002" w14:textId="77777777" w:rsidR="00C16EFD" w:rsidRDefault="00C16EFD"/>
    <w:sectPr w:rsidR="00C16E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0BE"/>
    <w:rsid w:val="003C4B3B"/>
    <w:rsid w:val="004921F4"/>
    <w:rsid w:val="005B50BE"/>
    <w:rsid w:val="005C578C"/>
    <w:rsid w:val="00C16EFD"/>
    <w:rsid w:val="00E31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434D6"/>
  <w15:chartTrackingRefBased/>
  <w15:docId w15:val="{DAE05C26-ADA9-41AE-901D-BADC9679B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0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50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50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50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50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50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0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0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0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0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50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50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50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50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50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0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0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0BE"/>
    <w:rPr>
      <w:rFonts w:eastAsiaTheme="majorEastAsia" w:cstheme="majorBidi"/>
      <w:color w:val="272727" w:themeColor="text1" w:themeTint="D8"/>
    </w:rPr>
  </w:style>
  <w:style w:type="paragraph" w:styleId="Title">
    <w:name w:val="Title"/>
    <w:basedOn w:val="Normal"/>
    <w:next w:val="Normal"/>
    <w:link w:val="TitleChar"/>
    <w:uiPriority w:val="10"/>
    <w:qFormat/>
    <w:rsid w:val="005B50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0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0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0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0BE"/>
    <w:pPr>
      <w:spacing w:before="160"/>
      <w:jc w:val="center"/>
    </w:pPr>
    <w:rPr>
      <w:i/>
      <w:iCs/>
      <w:color w:val="404040" w:themeColor="text1" w:themeTint="BF"/>
    </w:rPr>
  </w:style>
  <w:style w:type="character" w:customStyle="1" w:styleId="QuoteChar">
    <w:name w:val="Quote Char"/>
    <w:basedOn w:val="DefaultParagraphFont"/>
    <w:link w:val="Quote"/>
    <w:uiPriority w:val="29"/>
    <w:rsid w:val="005B50BE"/>
    <w:rPr>
      <w:i/>
      <w:iCs/>
      <w:color w:val="404040" w:themeColor="text1" w:themeTint="BF"/>
    </w:rPr>
  </w:style>
  <w:style w:type="paragraph" w:styleId="ListParagraph">
    <w:name w:val="List Paragraph"/>
    <w:basedOn w:val="Normal"/>
    <w:uiPriority w:val="34"/>
    <w:qFormat/>
    <w:rsid w:val="005B50BE"/>
    <w:pPr>
      <w:ind w:left="720"/>
      <w:contextualSpacing/>
    </w:pPr>
  </w:style>
  <w:style w:type="character" w:styleId="IntenseEmphasis">
    <w:name w:val="Intense Emphasis"/>
    <w:basedOn w:val="DefaultParagraphFont"/>
    <w:uiPriority w:val="21"/>
    <w:qFormat/>
    <w:rsid w:val="005B50BE"/>
    <w:rPr>
      <w:i/>
      <w:iCs/>
      <w:color w:val="0F4761" w:themeColor="accent1" w:themeShade="BF"/>
    </w:rPr>
  </w:style>
  <w:style w:type="paragraph" w:styleId="IntenseQuote">
    <w:name w:val="Intense Quote"/>
    <w:basedOn w:val="Normal"/>
    <w:next w:val="Normal"/>
    <w:link w:val="IntenseQuoteChar"/>
    <w:uiPriority w:val="30"/>
    <w:qFormat/>
    <w:rsid w:val="005B50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50BE"/>
    <w:rPr>
      <w:i/>
      <w:iCs/>
      <w:color w:val="0F4761" w:themeColor="accent1" w:themeShade="BF"/>
    </w:rPr>
  </w:style>
  <w:style w:type="character" w:styleId="IntenseReference">
    <w:name w:val="Intense Reference"/>
    <w:basedOn w:val="DefaultParagraphFont"/>
    <w:uiPriority w:val="32"/>
    <w:qFormat/>
    <w:rsid w:val="005B50BE"/>
    <w:rPr>
      <w:b/>
      <w:bCs/>
      <w:smallCaps/>
      <w:color w:val="0F4761" w:themeColor="accent1" w:themeShade="BF"/>
      <w:spacing w:val="5"/>
    </w:rPr>
  </w:style>
  <w:style w:type="character" w:styleId="Hyperlink">
    <w:name w:val="Hyperlink"/>
    <w:basedOn w:val="DefaultParagraphFont"/>
    <w:uiPriority w:val="99"/>
    <w:unhideWhenUsed/>
    <w:rsid w:val="005B50BE"/>
    <w:rPr>
      <w:color w:val="467886" w:themeColor="hyperlink"/>
      <w:u w:val="single"/>
    </w:rPr>
  </w:style>
  <w:style w:type="character" w:styleId="UnresolvedMention">
    <w:name w:val="Unresolved Mention"/>
    <w:basedOn w:val="DefaultParagraphFont"/>
    <w:uiPriority w:val="99"/>
    <w:semiHidden/>
    <w:unhideWhenUsed/>
    <w:rsid w:val="005B5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asqrochester.com_so_b7Pt0pwLL_c-3Fw-3DLTBUt4yHYO6m6u3Xt34BhEq9MKaeKMWtSCrr0nyZhA4.eyJ1IjoiaHR0cHM6Ly93d3cuZ3JxYy5vcmcvZGF5LW9mLXF1YWxpdHkiLCJyIjoiIiwibSI6Im1haWwiLCJjIjoiMzQ0ZDY3ZjItMjI1YS00ZjExLTg3NDEtMTRhZmRiN2MxNzQzIn0&amp;d=DwMFaQ&amp;c=euGZstcaTDllvimEN8b7jXrwqOf-v5A_CdpgnVfiiMM&amp;r=1BxG9rSYQZAK6layZGHo8uyjGzoLHYVGYQJRZsUBTzg&amp;m=7_sQkWQ0EXwnawpU3q-CPrUSikbnip-VhjoH0oCKI-QpWHFQ4iyTqqrjZFhQfWmc&amp;s=CDeM3Lv6D2DXSsfP0asqMD1zPXPVHs73P5lBZdytgFU&amp;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urldefense.proofpoint.com/v2/url?u=https-3A__asqrochester.com_so_b7Pt0pwLL_c-3Fw-3D-2DSJz4PELdqnFw0cHni7uyVtaprJqFZYWBNG8VX9LE54.eyJ1IjoiaHR0cHM6Ly93d3cub3B0aXByby5jb20vdGVjaG5vbG9neS1vcGVuLWhvdXNlLyIsInIiOiIiLCJtIjoibWFpbCIsImMiOiIzNDRkNjdmMi0yMjVhLTRmMTEtODc0MS0xNGFmZGI3YzE3NDMifQ&amp;d=DwMFaQ&amp;c=euGZstcaTDllvimEN8b7jXrwqOf-v5A_CdpgnVfiiMM&amp;r=1BxG9rSYQZAK6layZGHo8uyjGzoLHYVGYQJRZsUBTzg&amp;m=7_sQkWQ0EXwnawpU3q-CPrUSikbnip-VhjoH0oCKI-QpWHFQ4iyTqqrjZFhQfWmc&amp;s=TS2deM-UlzTq7lycl-HkCm0zAGEWNDhFeCkdtnAOz-E&amp;e=" TargetMode="Externa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s://urldefense.proofpoint.com/v2/url?u=https-3A__asqrochester.com_so_b7Pt0pwLL_c-3Fw-3D6cV4OxRD3A82xGRmyw726u-2Djg0bcL9RhwQ7cVlWqGLs.eyJ1IjoiaHR0cHM6Ly9hc3Eub3JnL2NvbmZlcmVuY2VzL3djcWkiLCJyIjoiIiwibSI6Im1haWwiLCJjIjoiMzQ0ZDY3ZjItMjI1YS00ZjExLTg3NDEtMTRhZmRiN2MxNzQzIn0&amp;d=DwMFaQ&amp;c=euGZstcaTDllvimEN8b7jXrwqOf-v5A_CdpgnVfiiMM&amp;r=1BxG9rSYQZAK6layZGHo8uyjGzoLHYVGYQJRZsUBTzg&amp;m=7_sQkWQ0EXwnawpU3q-CPrUSikbnip-VhjoH0oCKI-QpWHFQ4iyTqqrjZFhQfWmc&amp;s=sdlYVAf8WND-kMlGSfK74_tJnDDG4Qvi7hTPqO82CGs&am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1384</Words>
  <Characters>7421</Characters>
  <Application>Microsoft Office Word</Application>
  <DocSecurity>0</DocSecurity>
  <Lines>125</Lines>
  <Paragraphs>146</Paragraphs>
  <ScaleCrop>false</ScaleCrop>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Triplett</dc:creator>
  <cp:keywords/>
  <dc:description/>
  <cp:lastModifiedBy>Matthew Triplett</cp:lastModifiedBy>
  <cp:revision>1</cp:revision>
  <dcterms:created xsi:type="dcterms:W3CDTF">2026-05-20T17:00:00Z</dcterms:created>
  <dcterms:modified xsi:type="dcterms:W3CDTF">2026-05-20T17:01:00Z</dcterms:modified>
</cp:coreProperties>
</file>